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Style w:val="cat-FIOgrp-17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зарегистрированного и 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1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административной комиссии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276-24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</w:t>
      </w:r>
      <w:r>
        <w:rPr>
          <w:rFonts w:ascii="Times New Roman" w:eastAsia="Times New Roman" w:hAnsi="Times New Roman" w:cs="Times New Roman"/>
        </w:rPr>
        <w:t xml:space="preserve"> Закона ХМАО-Югры от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</w:t>
      </w:r>
      <w:r>
        <w:rPr>
          <w:rStyle w:val="cat-Addressgrp-5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276-24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</w:t>
      </w:r>
      <w:r>
        <w:rPr>
          <w:rFonts w:ascii="Times New Roman" w:eastAsia="Times New Roman" w:hAnsi="Times New Roman" w:cs="Times New Roman"/>
        </w:rPr>
        <w:t xml:space="preserve"> Закона ХМАО-Югры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Style w:val="cat-Sumgrp-21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276-24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</w:t>
      </w:r>
      <w:r>
        <w:rPr>
          <w:rFonts w:ascii="Times New Roman" w:eastAsia="Times New Roman" w:hAnsi="Times New Roman" w:cs="Times New Roman"/>
        </w:rPr>
        <w:t xml:space="preserve">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 xml:space="preserve">кой об отсутствии уплаты штрафа по состоянию на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2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Наименование получателя: УФК по </w:t>
      </w:r>
      <w:r>
        <w:rPr>
          <w:rStyle w:val="cat-Addressgrp-6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Администрация </w:t>
      </w:r>
      <w:r>
        <w:rPr>
          <w:rStyle w:val="cat-Addressgrp-5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 xml:space="preserve">), наименование банка: РКЦ Ханты-Мансийск//УФК по Ханты- </w:t>
      </w:r>
      <w:r>
        <w:rPr>
          <w:rStyle w:val="cat-Addressgrp-7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5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6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7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</w:t>
      </w:r>
      <w:r>
        <w:rPr>
          <w:rFonts w:ascii="Times New Roman" w:eastAsia="Times New Roman" w:hAnsi="Times New Roman" w:cs="Times New Roman"/>
        </w:rPr>
        <w:t>11906991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0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1rplc-14">
    <w:name w:val="cat-Sum grp-21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Sumgrp-21rplc-24">
    <w:name w:val="cat-Sum grp-2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Sumgrp-22rplc-34">
    <w:name w:val="cat-Sum grp-22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